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35" w:rsidRPr="005151BE" w:rsidRDefault="00695035" w:rsidP="00695035">
      <w:pPr>
        <w:pStyle w:val="OZNRODZAKTUtznustawalubrozporzdzenieiorganwydajcy"/>
      </w:pPr>
      <w:r>
        <w:t>uzasadnienie</w:t>
      </w:r>
    </w:p>
    <w:p w:rsidR="00695035" w:rsidRDefault="00695035" w:rsidP="00695035">
      <w:pPr>
        <w:pStyle w:val="ARTartustawynprozporzdzenia"/>
      </w:pPr>
      <w:r>
        <w:t xml:space="preserve">Projekt rozporządzenia </w:t>
      </w:r>
      <w:r w:rsidRPr="00D86DDB">
        <w:t>stanowi realizację upoważnienia ustawowego za</w:t>
      </w:r>
      <w:r>
        <w:t>wartego</w:t>
      </w:r>
      <w:r>
        <w:br/>
        <w:t xml:space="preserve">w art. </w:t>
      </w:r>
      <w:r w:rsidRPr="005D5415">
        <w:t>38 ustawy z dnia 18 lutego 1994 r. 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</w:t>
      </w:r>
      <w:r>
        <w:t xml:space="preserve"> oraz ich rodzin (Dz. U. z 2022 r. poz. 1626), zwanej dalej </w:t>
      </w:r>
      <w:r w:rsidRPr="005D5415">
        <w:t>„</w:t>
      </w:r>
      <w:r w:rsidR="00671CB5">
        <w:t>ustawą zaopatrzeniową”</w:t>
      </w:r>
      <w:r>
        <w:t>, zgodnie z którym minister właściwy do spraw wewnętrznych wydaje rozporządzenie po zasięgnięciu opinii ministra właściwego do spraw finansów publicznych, Szefa Agencji Bezpieczeństwa Wewnętrznego, Szefa Agencji Wywiadu, Szefa Centralnego Biura Antykorupcyjnego i Szefa Kancelarii Sejmu.</w:t>
      </w:r>
    </w:p>
    <w:p w:rsidR="00695035" w:rsidRDefault="00695035" w:rsidP="00695035">
      <w:pPr>
        <w:pStyle w:val="ARTartustawynprozporzdzenia"/>
      </w:pPr>
      <w:r>
        <w:t xml:space="preserve">Potrzeba dokonania nowelizacji </w:t>
      </w:r>
      <w:r w:rsidRPr="005D5415">
        <w:t>rozporządze</w:t>
      </w:r>
      <w:r>
        <w:t>nia Ministra Spraw Wewnętrznych</w:t>
      </w:r>
      <w:r>
        <w:br/>
      </w:r>
      <w:r w:rsidRPr="005D5415">
        <w:t>i Administracji z dnia 7 grudnia 2018 r. w sprawie trybu postępowania i właściwoś</w:t>
      </w:r>
      <w:r>
        <w:t>ci organu w </w:t>
      </w:r>
      <w:r w:rsidRPr="005D5415">
        <w:t>zakresie zaopatrzenia emerytalnego funkcjonariuszy Policji, Agencji Bezpieczeństwa Wewnętrznego, Agencji Wywiadu, Centralnego Biura Antykorupcyjnego, Straży Granicznej, Straży Marszałkowskiej, Służby Ochrony Państwa, Państwowej Straży Pożarnej i Służby Celno-Skarbowej oraz ich rodzin (Dz. U. poz. 2373 oraz z 2020 r. poz. 716)</w:t>
      </w:r>
      <w:r>
        <w:t xml:space="preserve">, zwanego dalej </w:t>
      </w:r>
      <w:r w:rsidRPr="005D5415">
        <w:t>„</w:t>
      </w:r>
      <w:r w:rsidR="00671CB5">
        <w:t>rozporządzeniem”</w:t>
      </w:r>
      <w:r>
        <w:t>, wynika z ogłoszenia ustawy z dnia</w:t>
      </w:r>
      <w:r w:rsidRPr="005D5415">
        <w:t xml:space="preserve"> 1</w:t>
      </w:r>
      <w:r>
        <w:t>2 maja 2022 r. o zmianie ustawy</w:t>
      </w:r>
      <w:r>
        <w:br/>
      </w:r>
      <w:r w:rsidRPr="005D5415">
        <w:t>o zaopatrzeniu emerytalnym żołnierzy zawodowych oraz ich rodzin, ustaw</w:t>
      </w:r>
      <w:r>
        <w:t xml:space="preserve">y </w:t>
      </w:r>
      <w:r w:rsidRPr="005D5415">
        <w:t>o zaopatrzeniu emerytalnym funkcjonariuszy Policji, Agencji Bezpieczeństwa Wewnętrznego, Agencji Wywiadu, Służby Kontrwywiadu Wojskowego, Służby Wywiadu Wojskowego, Centralnego Biura Antykorupcyjnego, Straży Granicznej, Straży Marszałkowskiej, Służby Ochrony Państwa, Państwowej Straży Pożarnej, Służby Celno-Skarbowej i Służby Więziennej oraz ich rodzin oraz niektórych innych ustaw (Dz. U. poz. 1115)</w:t>
      </w:r>
      <w:r>
        <w:t xml:space="preserve">, zwanej dalej </w:t>
      </w:r>
      <w:r w:rsidRPr="005D5415">
        <w:t>„</w:t>
      </w:r>
      <w:r w:rsidR="00671CB5">
        <w:t>ustawą nowelizującą”</w:t>
      </w:r>
      <w:r>
        <w:t>.</w:t>
      </w:r>
    </w:p>
    <w:p w:rsidR="00695035" w:rsidRDefault="00695035" w:rsidP="00695035">
      <w:pPr>
        <w:pStyle w:val="ARTartustawynprozporzdzenia"/>
      </w:pPr>
      <w:r>
        <w:t xml:space="preserve">W art. 2 pkt 2  lit. a ustawy nowelizującej wprowadzono </w:t>
      </w:r>
      <w:r w:rsidRPr="00B66B51">
        <w:t>zmianę w zakresie warunków nabywania uprawnień emerytalnych przez funkcjonariuszy Służby Celnej (SC)</w:t>
      </w:r>
      <w:r>
        <w:br/>
      </w:r>
      <w:r w:rsidRPr="00B66B51">
        <w:t>i funkcjonarius</w:t>
      </w:r>
      <w:r>
        <w:t xml:space="preserve">zy Służby Celno-Skarbowej (SCS), polegającą na uchyleniu w art. 12 </w:t>
      </w:r>
      <w:r w:rsidRPr="00B00B41">
        <w:t xml:space="preserve">ust. 2 </w:t>
      </w:r>
      <w:r>
        <w:t>ustawy zaopatrzeniowej. Z</w:t>
      </w:r>
      <w:r w:rsidRPr="00B66B51">
        <w:t>miana w art.</w:t>
      </w:r>
      <w:r>
        <w:t xml:space="preserve"> 12 ustawy zaopatrzeniowej zniosła</w:t>
      </w:r>
      <w:r w:rsidRPr="00B66B51">
        <w:t xml:space="preserve"> w przypadku funkcjonariuszy SC i funkcjonariuszy SCS dodatkowy warunek nabywania uprawnień emerytalnych, w postaci posiadania stażu służby co najmniej 5 lat przy wykonywaniu zadań określonych odpowiednio w art. 1 ust. 2 pkt 4 i 5 ustawyz dnia 24 lipca 1999 r. o Służbie Celnej </w:t>
      </w:r>
      <w:r>
        <w:t xml:space="preserve">(Dz.  U. z 2004 r. poz. 1641, z późn. zm.) </w:t>
      </w:r>
      <w:r w:rsidRPr="00B66B51">
        <w:t>lub w art. 2 ust. 1 pkt 4-6 ustawy z dnia</w:t>
      </w:r>
      <w:r>
        <w:br/>
      </w:r>
      <w:r w:rsidRPr="00B66B51">
        <w:lastRenderedPageBreak/>
        <w:t xml:space="preserve">27 sierpnia 2009 r. o Służbie Celnej </w:t>
      </w:r>
      <w:r w:rsidRPr="00572E68">
        <w:t>(Dz.  U. z 2016 r. poz</w:t>
      </w:r>
      <w:r>
        <w:t>. 1799 i 1948)</w:t>
      </w:r>
      <w:r w:rsidRPr="00B66B51">
        <w:t xml:space="preserve">lub służby w Służbie Celno-Skarbowej, czyli posiadania 5 lat </w:t>
      </w:r>
      <w:r>
        <w:t xml:space="preserve">wykonywania </w:t>
      </w:r>
      <w:r w:rsidRPr="00B66B51">
        <w:t>tzw. zadań policyjnych w całym wymaganym okresie służby.</w:t>
      </w:r>
      <w:r>
        <w:t xml:space="preserve"> W związku z powyższym zachodzi potrzeba uchylenia pkt 4</w:t>
      </w:r>
      <w:r>
        <w:br/>
        <w:t>w § 14 ust. 1 rozporządzenia, który określa dokument stanowiący środek dowodowy potwierdzający posiadanie</w:t>
      </w:r>
      <w:r w:rsidRPr="00572E68">
        <w:t xml:space="preserve"> 5 lat wykonywania tzw. zadań policyjnych</w:t>
      </w:r>
      <w:r>
        <w:t>.</w:t>
      </w:r>
    </w:p>
    <w:p w:rsidR="00695035" w:rsidRDefault="00695035" w:rsidP="00695035">
      <w:pPr>
        <w:pStyle w:val="ARTartustawynprozporzdzenia"/>
      </w:pPr>
      <w:r>
        <w:t xml:space="preserve"> W art. 2 pkt 3 i 7</w:t>
      </w:r>
      <w:r w:rsidRPr="00572E68">
        <w:t xml:space="preserve"> ustawy nowelizującej wprowadzono</w:t>
      </w:r>
      <w:r>
        <w:t xml:space="preserve"> nowe okresy zatrudnienia, które są traktowane jako okresy równorzędne ze służbą w </w:t>
      </w:r>
      <w:r w:rsidRPr="00D06DE9">
        <w:t>Policji, Agencji Bezpieczeństwa Wewnę</w:t>
      </w:r>
      <w:r>
        <w:t>trznego, Agencji Wywiadu, Służbie Kontrwywiadu Wojskowego, Służbie Wywiadu Wojskowego, Centralnym Biurze Antykorupcyjnym</w:t>
      </w:r>
      <w:r w:rsidRPr="00D06DE9">
        <w:t>, Straży Granicznej</w:t>
      </w:r>
      <w:r>
        <w:t>, Straży Marszałkowskiej, Służbie</w:t>
      </w:r>
      <w:r w:rsidRPr="00D06DE9">
        <w:t xml:space="preserve"> Ochrony Państwa, Państwowej Straży Pożarnej, </w:t>
      </w:r>
      <w:r>
        <w:t>Służbie Celnej, Służbie</w:t>
      </w:r>
      <w:r w:rsidRPr="00D06DE9">
        <w:t xml:space="preserve"> Celno-Skarb</w:t>
      </w:r>
      <w:r>
        <w:t>owej i Służbie</w:t>
      </w:r>
      <w:r w:rsidRPr="00D06DE9">
        <w:t xml:space="preserve"> Więziennej</w:t>
      </w:r>
      <w:r>
        <w:t>, poprzez dodanie pkt 6 i 7 w art. 13 ust. 1 oraz pkt 4 w art. 18b ust. 2 ustawy zaopatrzeniowej. Zgodnie ze znowelizowanymi przepisami jako okresy równorzędne ze służbą traktuje się odpowiednio okresy zatrudnienia w Inspekcji Celnej lub okresy zatrudnienia:</w:t>
      </w:r>
    </w:p>
    <w:p w:rsidR="00695035" w:rsidRDefault="00695035" w:rsidP="00695035">
      <w:pPr>
        <w:pStyle w:val="PKTpunkt"/>
      </w:pPr>
      <w:r>
        <w:t>1) w komórkach organizacyjnych, o których mowa w art. 11g ust. 1 i 2 oraz art. 36,</w:t>
      </w:r>
    </w:p>
    <w:p w:rsidR="00695035" w:rsidRDefault="00695035" w:rsidP="00695035">
      <w:pPr>
        <w:pStyle w:val="PKTpunkt"/>
      </w:pPr>
      <w:r>
        <w:t>2) jako inspektorzy prowadzący czynności dochodzeniowo-śledcze, o któr</w:t>
      </w:r>
      <w:r w:rsidR="00671CB5">
        <w:t xml:space="preserve">ych mowa w art. 38 ust. 4 i 5 </w:t>
      </w:r>
      <w:r>
        <w:t>ustawy z dnia 28 września 1991 r. o kontroli skarbowej (Dz. U. z 2016 r. poz. 720, z późn. zm.).</w:t>
      </w:r>
    </w:p>
    <w:p w:rsidR="00695035" w:rsidRDefault="00695035" w:rsidP="00695035">
      <w:pPr>
        <w:pStyle w:val="CZWSPPKTczwsplnapunktw"/>
      </w:pPr>
      <w:r>
        <w:t xml:space="preserve">W związku z powyższym zachodzi potrzeba wskazania </w:t>
      </w:r>
      <w:r w:rsidRPr="00957E31">
        <w:t>dokument</w:t>
      </w:r>
      <w:r>
        <w:t>u, który będzie stanowił</w:t>
      </w:r>
      <w:r w:rsidRPr="00957E31">
        <w:t xml:space="preserve"> środek dowodowy potwierdzający</w:t>
      </w:r>
      <w:r>
        <w:t xml:space="preserve"> powyższe okresy zatrudnienia. Zgodnie z projektowanym ust. 6b dodawanym w § 15 rozporządzenia, dokumentem tym będzie zaświadczenie wystawione</w:t>
      </w:r>
      <w:r w:rsidRPr="00957E31">
        <w:t xml:space="preserve"> przez właściwy organ Krajowej </w:t>
      </w:r>
      <w:r>
        <w:t>Administracji Skarbowej wydane</w:t>
      </w:r>
      <w:r w:rsidRPr="00957E31">
        <w:t xml:space="preserve"> na podstawie akt osobowych funkcjonariusza</w:t>
      </w:r>
      <w:r>
        <w:t>.</w:t>
      </w:r>
    </w:p>
    <w:p w:rsidR="00695035" w:rsidRDefault="00695035" w:rsidP="00695035">
      <w:pPr>
        <w:pStyle w:val="ARTartustawynprozporzdzenia"/>
      </w:pPr>
      <w:r>
        <w:t>Pozostałe zmiany zaproponowane w projektowanym rozporządzeniu wynikają ze zmian przedstawionych powyżej  (§ 1 pkt 1 lit. b i d) lub mają charakter porządkujący (§ 1 pkt 1</w:t>
      </w:r>
      <w:r>
        <w:br/>
      </w:r>
      <w:r w:rsidRPr="00D02364">
        <w:t>lit.</w:t>
      </w:r>
      <w:r>
        <w:t xml:space="preserve"> c).</w:t>
      </w:r>
    </w:p>
    <w:p w:rsidR="00695035" w:rsidRPr="00492809" w:rsidRDefault="00695035" w:rsidP="00695035">
      <w:pPr>
        <w:pStyle w:val="ARTartustawynprozporzdzenia"/>
      </w:pPr>
      <w:r>
        <w:t>Proponuje się, aby projektowane rozporządzenie weszło w życie z dniem następującym po dniu ogłoszenia. Z uwagi na wejście w życie ustawy noweli</w:t>
      </w:r>
      <w:r w:rsidR="00671CB5">
        <w:t>zującej z dniem 10 czerwca 2022 </w:t>
      </w:r>
      <w:r>
        <w:t>r. oraz wszczęte w wyniku tego postępowania w sprawie ustalenia prawa</w:t>
      </w:r>
      <w:r>
        <w:br/>
        <w:t xml:space="preserve">i wysokości emerytury policyjnej, zachodzi konieczność pilnego wskazania właściwego dokumentu umożliwiającego zaliczenie do wysługi emerytalnej okresów pracy dodanych ustawą nowelizującą. Powyższe stanowi uzasadniony przypadek, o którym mowa w art. 4 </w:t>
      </w:r>
      <w:r>
        <w:lastRenderedPageBreak/>
        <w:t>ust.</w:t>
      </w:r>
      <w:r w:rsidR="00671CB5">
        <w:t> </w:t>
      </w:r>
      <w:r>
        <w:t>2</w:t>
      </w:r>
      <w:r w:rsidRPr="00492809">
        <w:t>ustawy z dnia 20 lipca 2000 r. o ogłaszaniu aktów normatywnych i niektórych innyc</w:t>
      </w:r>
      <w:r>
        <w:t>h aktów prawnych (Dz. U. z 2019 r. poz. 1461), zaś</w:t>
      </w:r>
      <w:r w:rsidRPr="00DF0A82">
        <w:t xml:space="preserve"> zasady demok</w:t>
      </w:r>
      <w:r w:rsidR="00EB2873">
        <w:t>ratycznego państwa prawnego nie </w:t>
      </w:r>
      <w:r w:rsidRPr="00DF0A82">
        <w:t xml:space="preserve">stoją temu </w:t>
      </w:r>
      <w:r>
        <w:t>na przeszkodzie</w:t>
      </w:r>
      <w:r w:rsidRPr="00DF0A82">
        <w:t>.</w:t>
      </w:r>
    </w:p>
    <w:p w:rsidR="00695035" w:rsidRPr="00B00B41" w:rsidRDefault="00671CB5" w:rsidP="00EB2873">
      <w:pPr>
        <w:ind w:firstLine="510"/>
        <w:jc w:val="both"/>
      </w:pPr>
      <w:r>
        <w:t>W ocenie projektodawcy p</w:t>
      </w:r>
      <w:r w:rsidR="00695035" w:rsidRPr="00B00B41">
        <w:t xml:space="preserve">rzedmiotowa </w:t>
      </w:r>
      <w:r w:rsidR="00695035" w:rsidRPr="00EB2873">
        <w:rPr>
          <w:rFonts w:ascii="Times" w:hAnsi="Times"/>
        </w:rPr>
        <w:t>regulacja nie jest objęta prawem Unii Europejski</w:t>
      </w:r>
      <w:r w:rsidR="00727BD0">
        <w:rPr>
          <w:rFonts w:ascii="Times" w:hAnsi="Times"/>
        </w:rPr>
        <w:t xml:space="preserve">ej i </w:t>
      </w:r>
      <w:r w:rsidR="00695035" w:rsidRPr="00EB2873">
        <w:rPr>
          <w:rFonts w:ascii="Times" w:hAnsi="Times"/>
        </w:rPr>
        <w:t>nie podlega obowiązkowi przedstawienia właściwym organom i i</w:t>
      </w:r>
      <w:r w:rsidR="00727BD0">
        <w:rPr>
          <w:rFonts w:ascii="Times" w:hAnsi="Times"/>
        </w:rPr>
        <w:t xml:space="preserve">nstytucjom Unii Europejskiej, w </w:t>
      </w:r>
      <w:r w:rsidR="00695035" w:rsidRPr="00EB2873">
        <w:rPr>
          <w:rFonts w:ascii="Times" w:hAnsi="Times"/>
        </w:rPr>
        <w:t>tym Europejskiemu Bankowi Centralnemu, w celu uzyskania opinii, dokonania powiadomienia, konsultacji albo uzgodnienia.</w:t>
      </w:r>
    </w:p>
    <w:p w:rsidR="00695035" w:rsidRPr="00B00B41" w:rsidRDefault="00695035" w:rsidP="00EB2873">
      <w:pPr>
        <w:ind w:firstLine="510"/>
        <w:jc w:val="both"/>
      </w:pPr>
      <w:r w:rsidRPr="00B00B41">
        <w:t>Nie ma możliwości podjęcia alternatywnych, w stosunku do projektowanego rozporządzenia, działań umożliwiających osiągnięcie zamierzonego celu.</w:t>
      </w:r>
    </w:p>
    <w:p w:rsidR="00695035" w:rsidRPr="00B00B41" w:rsidRDefault="00695035" w:rsidP="00EB2873">
      <w:pPr>
        <w:ind w:firstLine="510"/>
        <w:jc w:val="both"/>
      </w:pPr>
      <w:r w:rsidRPr="00B00B41">
        <w:t>Projekt rozporządzenia nie zawiera przepisów technicznych w rozumieniu przepisów rozporządzenia Rady Ministrów z dnia 23 grudnia 2002 r. w sprawie sposobu funkcjonowania krajowego systemu notyfikacji norm i aktów prawnych (Dz. U. poz. 2039 oraz z 2004 r. poz. 597) i związku z tym nie podlega przedmiotowej notyfikacji.</w:t>
      </w:r>
    </w:p>
    <w:p w:rsidR="00695035" w:rsidRPr="00B00B41" w:rsidRDefault="00695035" w:rsidP="00EB2873">
      <w:pPr>
        <w:ind w:firstLine="510"/>
        <w:jc w:val="both"/>
      </w:pPr>
      <w:r w:rsidRPr="00B00B41">
        <w:t xml:space="preserve">Rozporządzenie nie będzie miało wpływu </w:t>
      </w:r>
      <w:r w:rsidR="00EB2873">
        <w:t>na konkurencyjność gospodarki i </w:t>
      </w:r>
      <w:r w:rsidRPr="00B00B41">
        <w:t xml:space="preserve">przedsiębiorczość, w tym na działalność mikro-, małych i średnich przedsiębiorców oraz na rodzinę, osoby starsze i osoby niepełnosprawne. </w:t>
      </w:r>
    </w:p>
    <w:p w:rsidR="00695035" w:rsidRPr="00B00B41" w:rsidRDefault="00695035" w:rsidP="00EB2873">
      <w:pPr>
        <w:ind w:firstLine="510"/>
        <w:jc w:val="both"/>
      </w:pPr>
      <w:r w:rsidRPr="00B00B41">
        <w:t>Projekt nie podlegał ocenie przez koordynatora OSR w trybie § 32 uchwały nr 190 Rady Ministrów z dnia 29 października 2013 r. – Regulamin pracy Rady Ministrów (M.P. z 2022 r. poz. 348).</w:t>
      </w:r>
    </w:p>
    <w:p w:rsidR="00695035" w:rsidRPr="005151BE" w:rsidRDefault="00695035" w:rsidP="00EB2873">
      <w:pPr>
        <w:ind w:firstLine="510"/>
        <w:jc w:val="both"/>
      </w:pPr>
      <w:r w:rsidRPr="00B00B41">
        <w:t>Projekt rozporządzenia, stosownie do</w:t>
      </w:r>
      <w:r w:rsidR="00727BD0">
        <w:t xml:space="preserve"> wymogów art. 5 ustawy z dnia 7 </w:t>
      </w:r>
      <w:r w:rsidRPr="00B00B41">
        <w:t xml:space="preserve">lipca 2005 r. o działalności lobbingowej w </w:t>
      </w:r>
      <w:r w:rsidR="00727BD0">
        <w:t xml:space="preserve">procesie stanowienia prawa (Dz. U. z 2017 r. poz. 248) oraz zgodnie z § </w:t>
      </w:r>
      <w:r w:rsidRPr="00B00B41">
        <w:t>52 ust. 1 uchwały nr 1</w:t>
      </w:r>
      <w:r w:rsidR="00727BD0">
        <w:t xml:space="preserve">90 Rady Ministrów z dnia 29 </w:t>
      </w:r>
      <w:r w:rsidRPr="00B00B41">
        <w:t xml:space="preserve">października 2013 r. – Regulamin pracy Rady Ministrów, został umieszczony w Biuletynie Informacji Publicznej Rządowego Centrum Legislacji. </w:t>
      </w:r>
    </w:p>
    <w:p w:rsidR="00193D01" w:rsidRDefault="00193D01" w:rsidP="00695035">
      <w:pPr>
        <w:jc w:val="both"/>
      </w:pPr>
    </w:p>
    <w:sectPr w:rsidR="00193D01" w:rsidSect="001A7F15">
      <w:headerReference w:type="default" r:id="rId6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375" w:rsidRDefault="00D46375">
      <w:pPr>
        <w:spacing w:line="240" w:lineRule="auto"/>
      </w:pPr>
      <w:r>
        <w:separator/>
      </w:r>
    </w:p>
  </w:endnote>
  <w:endnote w:type="continuationSeparator" w:id="1">
    <w:p w:rsidR="00D46375" w:rsidRDefault="00D46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375" w:rsidRDefault="00D46375">
      <w:pPr>
        <w:spacing w:line="240" w:lineRule="auto"/>
      </w:pPr>
      <w:r>
        <w:separator/>
      </w:r>
    </w:p>
  </w:footnote>
  <w:footnote w:type="continuationSeparator" w:id="1">
    <w:p w:rsidR="00D46375" w:rsidRDefault="00D463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3D" w:rsidRPr="00B371CC" w:rsidRDefault="00727BD0" w:rsidP="00B371CC">
    <w:pPr>
      <w:pStyle w:val="Nagwek"/>
      <w:jc w:val="center"/>
    </w:pPr>
    <w:r>
      <w:t xml:space="preserve">– </w:t>
    </w:r>
    <w:r w:rsidR="00CD1C84">
      <w:fldChar w:fldCharType="begin"/>
    </w:r>
    <w:r>
      <w:instrText xml:space="preserve"> PAGE  \* MERGEFORMAT </w:instrText>
    </w:r>
    <w:r w:rsidR="00CD1C84">
      <w:fldChar w:fldCharType="separate"/>
    </w:r>
    <w:r w:rsidR="00FF3452">
      <w:rPr>
        <w:noProof/>
      </w:rPr>
      <w:t>3</w:t>
    </w:r>
    <w:r w:rsidR="00CD1C84">
      <w:rPr>
        <w:noProof/>
      </w:rPr>
      <w:fldChar w:fldCharType="end"/>
    </w:r>
    <w:r>
      <w:t xml:space="preserve"> –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695035"/>
    <w:rsid w:val="000834EE"/>
    <w:rsid w:val="000E1EA9"/>
    <w:rsid w:val="0010738B"/>
    <w:rsid w:val="00193D01"/>
    <w:rsid w:val="001A6D15"/>
    <w:rsid w:val="0047677D"/>
    <w:rsid w:val="005A1704"/>
    <w:rsid w:val="006244F2"/>
    <w:rsid w:val="00671CB5"/>
    <w:rsid w:val="00695035"/>
    <w:rsid w:val="006F6EE0"/>
    <w:rsid w:val="00727BD0"/>
    <w:rsid w:val="00823CF6"/>
    <w:rsid w:val="009338D5"/>
    <w:rsid w:val="009668A5"/>
    <w:rsid w:val="00CD1C84"/>
    <w:rsid w:val="00D46375"/>
    <w:rsid w:val="00E83EED"/>
    <w:rsid w:val="00EB2873"/>
    <w:rsid w:val="00F3268E"/>
    <w:rsid w:val="00FF3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03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695035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95035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95035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Normalny"/>
    <w:uiPriority w:val="6"/>
    <w:qFormat/>
    <w:rsid w:val="00695035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95035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695035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Normalny"/>
    <w:uiPriority w:val="16"/>
    <w:qFormat/>
    <w:rsid w:val="00695035"/>
    <w:pPr>
      <w:ind w:left="0" w:firstLine="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34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4E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Ragus Krystian</dc:creator>
  <cp:lastModifiedBy>580102</cp:lastModifiedBy>
  <cp:revision>2</cp:revision>
  <cp:lastPrinted>2022-08-23T08:53:00Z</cp:lastPrinted>
  <dcterms:created xsi:type="dcterms:W3CDTF">2022-09-16T07:04:00Z</dcterms:created>
  <dcterms:modified xsi:type="dcterms:W3CDTF">2022-09-16T07:04:00Z</dcterms:modified>
</cp:coreProperties>
</file>